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5B" w:rsidRPr="007E695B" w:rsidRDefault="007E695B" w:rsidP="007E695B">
      <w:pPr>
        <w:pStyle w:val="NormalWeb"/>
        <w:spacing w:before="0" w:beforeAutospacing="0" w:after="210" w:afterAutospacing="0" w:line="330" w:lineRule="atLeast"/>
        <w:textAlignment w:val="baseline"/>
        <w:rPr>
          <w:b/>
          <w:color w:val="333333"/>
          <w:sz w:val="21"/>
          <w:szCs w:val="21"/>
        </w:rPr>
      </w:pPr>
      <w:bookmarkStart w:id="0" w:name="_GoBack"/>
      <w:r w:rsidRPr="007E695B">
        <w:rPr>
          <w:b/>
          <w:color w:val="333333"/>
          <w:sz w:val="21"/>
          <w:szCs w:val="21"/>
        </w:rPr>
        <w:t>RECIENTE REFORMA DEL CÓDIGO PENAL</w:t>
      </w:r>
    </w:p>
    <w:bookmarkEnd w:id="0"/>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Con fecha 28 de diciembre de 2012, se publicó en el Boletín Oficial del Estado la Ley Orgánica 7/2012, de 27 de diciembre, mediante la cual se modifica la Ley Orgánica 10/1995, de 23 de noviembre del Código Penal, en materia de transparencia y lucha contra el fraude fiscal y en la Seguridad Social.</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En la exposición de motivos del Proyecto de Ley Orgánica que pretendía la reforma de la Ley Orgánica 10/1995, de 23 de noviembre del Código Penal, en materia de transparencia y lucha contra el fraude fiscal y en la Seguridad Social – reforma que se ha materializado tras su entrada en vigor el pasado 28 de diciembre de 2012 -, se explica el porqué de la necesidad imperiosa de la citada reforma, que no era otra que el hecho de “mejorar la eficacia de los instrumentos de control de los ingresos y del gasto público, como un elemento imprescindible junto al resto de medidas adoptadas con motivo de la crisis económica”.</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Dicha reforma consiste, fundamentalmente, en lo siguiente:</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 Inclusión dentro del régimen general de responsabilidad penal de las personas jurídicas del que, hasta ahora, estaban excluidos, de los partidos políticos y sindicatos.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 Endurecimiento de las penas y de los mecanismos orientados a cobrar las deudas tributarias impagadas.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1. Posibilidad de ejecutar en vía administrativa. Cuando la Administración Tributaria apreciare indicios de haberse cometido un delito contra la Hacienda Pública, podrá liquidar de forma separada, por una parte los conceptos y cuantías que no se encuentren vinculados con el posible delito contra la Hacienda Pública, y por otra, los que se encuentren vinculados con el posible delito contra la Hacienda Pública (artículo 305.5 del CP).</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2. Se introduce para ello el artículo 305 bis (tipo agravado), para tipificar las conductas de mayor gravedad o de mayor complejidad en su descubrimiento, las cuales se sancionan ahora con una pena máxima de seis años (antes de la reforma era de 1 a 5 años), lo que, por aplicación del artículo 131 del Código Penal, llevaría aparejado el aumento del plazo de prescripción a diez años para dificultar la impunidad de estas conductas graves por el paso del tiempo. Se consideran supuestos agravados: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1. Aquellos en los que la cuantía de la cuota defraudada supere los seiscientos mil euros (600.000 €).</w:t>
      </w:r>
      <w:r>
        <w:rPr>
          <w:color w:val="333333"/>
          <w:sz w:val="21"/>
          <w:szCs w:val="21"/>
        </w:rPr>
        <w:br/>
        <w:t>2. Aquellos en los que la defraudación se comete en el seno de una organización o de un grupo criminal.</w:t>
      </w:r>
      <w:r>
        <w:rPr>
          <w:color w:val="333333"/>
          <w:sz w:val="21"/>
          <w:szCs w:val="21"/>
        </w:rPr>
        <w:br/>
        <w:t>3. O en los que la utilización de personas, negocios, instrumentos o territorios dificulte la determinación de la identidad o patrimonio del verdadero obligado tributario o responsable del delito o la cuantía defraudada.</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 xml:space="preserve">3. Se introduce un último párrafo en el artículo 306 del Código Penal, para los casos en los que la defraudación no alcance los cincuenta mil euros pero supere los cuatro mil euros son castigados </w:t>
      </w:r>
      <w:r>
        <w:rPr>
          <w:color w:val="333333"/>
          <w:sz w:val="21"/>
          <w:szCs w:val="21"/>
        </w:rPr>
        <w:lastRenderedPageBreak/>
        <w:t>como delitos en el apartado 3 del artículo 305 y en el artículo 306, desapareciendo la tipificación como falta de los actuales artículos 627 y 628.</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4. Se modifica el artículo 310 bis del Código Penal, de un lado, se introduce en la letra b) la pena de multa del doble al cuádruple en los supuestos agravados cuya regulación se propone en el nuevo artículo 305 bis; y, de otro lado, se añade un nuevo segundo párrafo en el que se prevé la imposición a las personas jurídicas responsables de estos delitos de las penas que la letra f), del apartado 7 del artículo 33 prevé con carácter general y que ya el apartado 1 del artículo 305 impone para las personas físicas.</w:t>
      </w:r>
    </w:p>
    <w:p w:rsidR="007E695B" w:rsidRDefault="007E695B" w:rsidP="007E695B">
      <w:pPr>
        <w:pStyle w:val="NormalWeb"/>
        <w:spacing w:before="0" w:beforeAutospacing="0" w:after="0" w:afterAutospacing="0" w:line="330" w:lineRule="atLeast"/>
        <w:textAlignment w:val="baseline"/>
        <w:rPr>
          <w:color w:val="333333"/>
          <w:sz w:val="21"/>
          <w:szCs w:val="21"/>
        </w:rPr>
      </w:pPr>
      <w:r>
        <w:rPr>
          <w:rStyle w:val="Textoennegrita"/>
          <w:rFonts w:ascii="inherit" w:hAnsi="inherit"/>
          <w:color w:val="333333"/>
          <w:sz w:val="21"/>
          <w:szCs w:val="21"/>
          <w:bdr w:val="none" w:sz="0" w:space="0" w:color="auto" w:frame="1"/>
        </w:rPr>
        <w:t>- Nuevo delito contra los derechos de los trabajadores</w:t>
      </w:r>
      <w:r>
        <w:rPr>
          <w:color w:val="333333"/>
          <w:sz w:val="21"/>
          <w:szCs w:val="21"/>
        </w:rPr>
        <w:t>, orientado a sancionar a quienes incumplen de forma grave la normativa laboral. Se introduce un nuevo apartado en el artículo 311 del Código Penal en el que se considera conducta delictiva el dar ocupación simultáneamente a varios trabajadores sin darles de alta en la Seguridad Social. Se considera hecho delictivo cuando esta circunstancia suponga el 25% de la plantilla en empresas de más de 100 trabajadores, cuando antes de la reforma dicha circunstancia era constitutiva de infracción administrativa y no de delito.</w:t>
      </w:r>
    </w:p>
    <w:p w:rsidR="007E695B" w:rsidRDefault="007E695B" w:rsidP="007E695B">
      <w:pPr>
        <w:pStyle w:val="NormalWeb"/>
        <w:spacing w:before="0" w:beforeAutospacing="0" w:after="0" w:afterAutospacing="0" w:line="330" w:lineRule="atLeast"/>
        <w:textAlignment w:val="baseline"/>
        <w:rPr>
          <w:color w:val="333333"/>
          <w:sz w:val="21"/>
          <w:szCs w:val="21"/>
        </w:rPr>
      </w:pPr>
      <w:r>
        <w:rPr>
          <w:rStyle w:val="Textoennegrita"/>
          <w:rFonts w:ascii="inherit" w:hAnsi="inherit"/>
          <w:color w:val="333333"/>
          <w:sz w:val="21"/>
          <w:szCs w:val="21"/>
          <w:bdr w:val="none" w:sz="0" w:space="0" w:color="auto" w:frame="1"/>
        </w:rPr>
        <w:t>- Fraude a la Seguridad Social</w:t>
      </w:r>
      <w:r>
        <w:rPr>
          <w:color w:val="333333"/>
          <w:sz w:val="21"/>
          <w:szCs w:val="21"/>
        </w:rPr>
        <w:t>. Las modificaciones introducidas son las siguientes: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1. Se modifica el apartado 1 del artículo 307 del Código Penal, respecto de la cuantía defraudada: antes de la reforma, cuando excedía de 120.000 € en un año; después de la reforma, cuando exceda de 50.000 € en cuatro años naturales. El obligado al pago de las cuotas de la Seguridad Social, es el empresario y el autónomo. También existe la posibilidad de regularizar la situación, dentro de los casos previstos en dicho artículo, lo que exime de pena y excluye el delito. Existe un subtipo privilegiado en caso de pago o confesión. Así como un subtipo agravado, en caso de que la defraudación exceda de 120.000 €, cuya pena de prisión oscilaría entre 2 y 6 años, y por tanto la prescripción de dicho delito se iría a los 10 años.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2. Se introduce el artículo 307 bis del CP (tipo agravado), el delito contra la Seguridad Social será castigado con la pena de prisión de dos a seis años y multa del doble al séxtuplo de la cuantía cuando la cuantía de las cuotas defraudadas o de las devoluciones o deducciones indebidas exceda de ciento veinte mil euros; o cuando la defraudación se haya cometido en el seno de una organización o de un grupo criminal; o cuando se utilicen personas físicas o jurídicas o entes sin personalidad jurídica interpuestos, negocios o instrumentos fiduciarios o paraísos fiscales o territorios de nula tributación.</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3. Se introduce el artículo 307 ter del Código Penal, se trata de un nuevo delito sin cuantía, y consiste en quien obtenga para sí o para otro el disfrute de prestaciones del sistema de la Seguridad Social o la prolongación indebida del mismo, por medio de error provocado mediante la simulación o tergiversación. Es un delito perseguible de oficio. También cabe la regularización por reintegro de subvenciones indebidas.</w:t>
      </w:r>
    </w:p>
    <w:p w:rsidR="007E695B" w:rsidRDefault="007E695B" w:rsidP="007E695B">
      <w:pPr>
        <w:pStyle w:val="NormalWeb"/>
        <w:spacing w:before="0" w:beforeAutospacing="0" w:after="210" w:afterAutospacing="0" w:line="330" w:lineRule="atLeast"/>
        <w:textAlignment w:val="baseline"/>
        <w:rPr>
          <w:color w:val="333333"/>
          <w:sz w:val="21"/>
          <w:szCs w:val="21"/>
        </w:rPr>
      </w:pPr>
      <w:r>
        <w:rPr>
          <w:color w:val="333333"/>
          <w:sz w:val="21"/>
          <w:szCs w:val="21"/>
        </w:rPr>
        <w:t>4. Respecto del artículo 310 del Código Penal, antes de la reforma la pena de multa era del doble al cuádruple de la cantidad defraudada, cuando el delito cometido por la persona física superaba los 2 años de prisión, y ahora es cuando la el delito cometido por la persona física supere los 5 años de prisión, así como del tanto al doble, cuando el delito cometido por la persona física sea castigado con una pena superior a 2 años.</w:t>
      </w:r>
    </w:p>
    <w:p w:rsidR="007E695B" w:rsidRDefault="007E695B" w:rsidP="007E695B">
      <w:pPr>
        <w:pStyle w:val="NormalWeb"/>
        <w:spacing w:before="0" w:beforeAutospacing="0" w:after="0" w:afterAutospacing="0" w:line="330" w:lineRule="atLeast"/>
        <w:textAlignment w:val="baseline"/>
        <w:rPr>
          <w:color w:val="333333"/>
          <w:sz w:val="21"/>
          <w:szCs w:val="21"/>
        </w:rPr>
      </w:pPr>
      <w:r>
        <w:rPr>
          <w:rStyle w:val="Textoennegrita"/>
          <w:rFonts w:ascii="inherit" w:hAnsi="inherit"/>
          <w:color w:val="333333"/>
          <w:sz w:val="21"/>
          <w:szCs w:val="21"/>
          <w:bdr w:val="none" w:sz="0" w:space="0" w:color="auto" w:frame="1"/>
        </w:rPr>
        <w:lastRenderedPageBreak/>
        <w:t>- Nuevo delito de malversación de los caudales públicos.</w:t>
      </w:r>
      <w:r>
        <w:rPr>
          <w:rStyle w:val="apple-converted-space"/>
          <w:color w:val="333333"/>
          <w:sz w:val="21"/>
          <w:szCs w:val="21"/>
        </w:rPr>
        <w:t> </w:t>
      </w:r>
      <w:r>
        <w:rPr>
          <w:color w:val="333333"/>
          <w:sz w:val="21"/>
          <w:szCs w:val="21"/>
        </w:rPr>
        <w:t xml:space="preserve">Se introduce el artículo 433 bis del Código Penal, constituye delito la conducta del funcionario público que falsee la contabilidad o documentación referente a la situación económica para causar un perjuicio a la entidad pública de la que dependa, fuera de los casos del artículo 390 CP. </w:t>
      </w:r>
      <w:proofErr w:type="gramStart"/>
      <w:r>
        <w:rPr>
          <w:color w:val="333333"/>
          <w:sz w:val="21"/>
          <w:szCs w:val="21"/>
        </w:rPr>
        <w:t>pena</w:t>
      </w:r>
      <w:proofErr w:type="gramEnd"/>
      <w:r>
        <w:rPr>
          <w:color w:val="333333"/>
          <w:sz w:val="21"/>
          <w:szCs w:val="21"/>
        </w:rPr>
        <w:t xml:space="preserve"> de inhabilitación especial para empleo o cargo público por tiempo de uno a diez años y multa de doce a veinticuatro meses.</w:t>
      </w:r>
    </w:p>
    <w:p w:rsidR="009437C7" w:rsidRDefault="009437C7"/>
    <w:p w:rsidR="007E695B" w:rsidRDefault="007E695B"/>
    <w:sectPr w:rsidR="007E69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5B"/>
    <w:rsid w:val="0006586E"/>
    <w:rsid w:val="000A31F5"/>
    <w:rsid w:val="00203104"/>
    <w:rsid w:val="0021027F"/>
    <w:rsid w:val="00237136"/>
    <w:rsid w:val="00263B7B"/>
    <w:rsid w:val="002873CF"/>
    <w:rsid w:val="002F1DB8"/>
    <w:rsid w:val="00337E66"/>
    <w:rsid w:val="003D6743"/>
    <w:rsid w:val="0042796B"/>
    <w:rsid w:val="00445FD3"/>
    <w:rsid w:val="004E72E6"/>
    <w:rsid w:val="004F4D4D"/>
    <w:rsid w:val="00526467"/>
    <w:rsid w:val="006279A4"/>
    <w:rsid w:val="00644188"/>
    <w:rsid w:val="006F3D15"/>
    <w:rsid w:val="007063B3"/>
    <w:rsid w:val="007916FA"/>
    <w:rsid w:val="007959F1"/>
    <w:rsid w:val="007E695B"/>
    <w:rsid w:val="008150D9"/>
    <w:rsid w:val="0089408E"/>
    <w:rsid w:val="008F0332"/>
    <w:rsid w:val="00930E1D"/>
    <w:rsid w:val="009437C7"/>
    <w:rsid w:val="00986F42"/>
    <w:rsid w:val="00A469E0"/>
    <w:rsid w:val="00AB40A6"/>
    <w:rsid w:val="00B47049"/>
    <w:rsid w:val="00CD22D1"/>
    <w:rsid w:val="00CF36BB"/>
    <w:rsid w:val="00D94ABB"/>
    <w:rsid w:val="00DE4F34"/>
    <w:rsid w:val="00E063A2"/>
    <w:rsid w:val="00E13654"/>
    <w:rsid w:val="00E60111"/>
    <w:rsid w:val="00E73597"/>
    <w:rsid w:val="00F367B1"/>
    <w:rsid w:val="00F57EB1"/>
    <w:rsid w:val="00FB7527"/>
    <w:rsid w:val="00FE4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775A8-B536-4670-928D-0E80A4D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69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695B"/>
    <w:rPr>
      <w:b/>
      <w:bCs/>
    </w:rPr>
  </w:style>
  <w:style w:type="character" w:customStyle="1" w:styleId="apple-converted-space">
    <w:name w:val="apple-converted-space"/>
    <w:basedOn w:val="Fuentedeprrafopredeter"/>
    <w:rsid w:val="007E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raad albacar</dc:creator>
  <cp:keywords/>
  <dc:description/>
  <cp:lastModifiedBy>fabricio raad albacar</cp:lastModifiedBy>
  <cp:revision>1</cp:revision>
  <dcterms:created xsi:type="dcterms:W3CDTF">2014-11-27T10:39:00Z</dcterms:created>
  <dcterms:modified xsi:type="dcterms:W3CDTF">2014-11-27T10:40:00Z</dcterms:modified>
</cp:coreProperties>
</file>