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  <w:rFonts w:ascii="MuliLight" w:hAnsi="MuliLight"/>
          <w:sz w:val="27"/>
          <w:szCs w:val="27"/>
        </w:rPr>
      </w:pPr>
      <w:r>
        <w:rPr>
          <w:rStyle w:val="Strong"/>
          <w:rFonts w:ascii="MuliLight" w:hAnsi="MuliLight"/>
          <w:sz w:val="27"/>
          <w:szCs w:val="27"/>
        </w:rPr>
        <w:t>Funciones, objeto de la entidad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Style w:val="Strong"/>
          <w:rFonts w:ascii="MuliLight" w:hAnsi="MuliLight"/>
          <w:sz w:val="27"/>
          <w:szCs w:val="27"/>
        </w:rPr>
        <w:t>Medatlantic Management, S.L.</w:t>
      </w:r>
      <w:r>
        <w:rPr>
          <w:rFonts w:ascii="MuliLight" w:hAnsi="MuliLight"/>
          <w:sz w:val="27"/>
          <w:szCs w:val="27"/>
        </w:rPr>
        <w:t> es una empresa con una sólida experiencia en el transporte nacional e internacional de toda clase de mercancías, así como en realizar gestiones aduaneras, ubicada en Las Palmas de Gran Canaria.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Contamos con años de experiencia realizando transportes de mercancías a cualquier punto de España y del mundo. Garantizamos un servicio rápido, puntual y efectivo, para que cuentes con lo que necesites en el lugar que nos indiques en tiempo y forma.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Nuestro objetivo es tu satisfacción. Queremos contar con tu confianza para convertirnos en tu empresa de transportes y aduanera de calidad. Nuestro equipo profesional va siempre un paso por delante y consigue aquellos resultados que esperas obtener de nuestro trabajo.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Llámanos ahora, comprueba cómo es nuestro trabajo diario y empezamos a colaborar por el bien común. Garantizamos tu entrega en el tiempo indicado y siempre velando, además, por el cuidado de los productos a transportar.</w:t>
      </w:r>
    </w:p>
    <w:p>
      <w:pPr>
        <w:pStyle w:val="NormalWeb"/>
        <w:shd w:val="clear" w:color="auto" w:fill="FFFFFF"/>
        <w:spacing w:beforeAutospacing="0" w:before="0" w:afterAutospacing="0" w:after="204"/>
        <w:jc w:val="both"/>
        <w:textAlignment w:val="baseline"/>
        <w:rPr>
          <w:rFonts w:ascii="MuliLight" w:hAnsi="MuliLight"/>
          <w:sz w:val="27"/>
          <w:szCs w:val="27"/>
          <w:u w:val="single"/>
        </w:rPr>
      </w:pPr>
      <w:r>
        <w:rPr>
          <w:rFonts w:ascii="MuliLight" w:hAnsi="MuliLight"/>
          <w:sz w:val="27"/>
          <w:szCs w:val="27"/>
          <w:u w:val="single"/>
        </w:rPr>
        <w:t>Transporte terrestre internacional</w:t>
      </w:r>
    </w:p>
    <w:p>
      <w:pPr>
        <w:pStyle w:val="NormalWeb"/>
        <w:shd w:val="clear" w:color="auto" w:fill="FFFFFF"/>
        <w:spacing w:beforeAutospacing="0" w:before="0" w:afterAutospacing="0" w:after="204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Medatlantic ofrece servicios directos de transporte en sus modalidades de grupaje y carga completa. Su amplia red de corresponsales estratégicamente localizados en las principales áreas industriales, junto a la estrecha colaboración mantenida con sus socios logísticos, permiten a su empresa beneficiarse de la experiencia y profesionalidad nuestra.</w:t>
      </w:r>
    </w:p>
    <w:p>
      <w:pPr>
        <w:pStyle w:val="NormalWeb"/>
        <w:shd w:val="clear" w:color="auto" w:fill="FFFFFF"/>
        <w:spacing w:beforeAutospacing="0" w:before="0" w:afterAutospacing="0" w:after="204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Incorporamos en servicios europeo de grupajes, un sistema de entregas garantizadas, adaptándose a los requerimientos y estándares de calidad más exigentes del mercado logístico.</w:t>
      </w:r>
    </w:p>
    <w:p>
      <w:pPr>
        <w:pStyle w:val="NormalWeb"/>
        <w:shd w:val="clear" w:color="auto" w:fill="FFFFFF"/>
        <w:spacing w:beforeAutospacing="0" w:before="0" w:afterAutospacing="0" w:after="204"/>
        <w:jc w:val="both"/>
        <w:textAlignment w:val="baseline"/>
        <w:rPr>
          <w:rFonts w:ascii="MuliLight" w:hAnsi="MuliLight"/>
          <w:sz w:val="27"/>
          <w:szCs w:val="27"/>
          <w:u w:val="single"/>
        </w:rPr>
      </w:pPr>
      <w:r>
        <w:rPr>
          <w:rFonts w:ascii="MuliLight" w:hAnsi="MuliLight"/>
          <w:sz w:val="27"/>
          <w:szCs w:val="27"/>
          <w:u w:val="single"/>
        </w:rPr>
        <w:t>Transporte en distribución nacional</w:t>
      </w:r>
    </w:p>
    <w:p>
      <w:pPr>
        <w:pStyle w:val="NormalWeb"/>
        <w:shd w:val="clear" w:color="auto" w:fill="FFFFFF"/>
        <w:spacing w:beforeAutospacing="0" w:before="0" w:afterAutospacing="0" w:after="204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La amplia cobertura nacional de Medatlantic, apoyada en su propia estructura logística en Canarias y en la Península Ibérica, garantizan una gestión rápida de sus envíos, lo que permiten optimizar los tiempos de tránsito y realizar el seguimiento de sus expediciones en tiempo real.</w:t>
      </w:r>
    </w:p>
    <w:p>
      <w:pPr>
        <w:pStyle w:val="NormalWeb"/>
        <w:shd w:val="clear" w:color="auto" w:fill="FFFFFF"/>
        <w:spacing w:beforeAutospacing="0" w:before="0" w:afterAutospacing="0" w:after="192"/>
        <w:jc w:val="both"/>
        <w:textAlignment w:val="baseline"/>
        <w:rPr>
          <w:rFonts w:ascii="MuliLight" w:hAnsi="MuliLight"/>
          <w:sz w:val="27"/>
          <w:szCs w:val="27"/>
          <w:u w:val="single"/>
        </w:rPr>
      </w:pPr>
      <w:r>
        <w:rPr>
          <w:rFonts w:ascii="MuliLight" w:hAnsi="MuliLight"/>
          <w:sz w:val="27"/>
          <w:szCs w:val="27"/>
          <w:u w:val="single"/>
        </w:rPr>
        <w:t>Nuestros valores:</w:t>
      </w:r>
    </w:p>
    <w:p>
      <w:pPr>
        <w:pStyle w:val="NormalWeb"/>
        <w:shd w:val="clear" w:color="auto" w:fill="FFFFFF"/>
        <w:spacing w:beforeAutospacing="0" w:before="0" w:afterAutospacing="0" w:after="192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Tenacidad, eficacia, seriedad, vocación, y profesionalidad son nuestros principales valores para con esfuerzo conseguir la excelencia en el ejercicio de nuestras funciones.</w:t>
      </w:r>
    </w:p>
    <w:p>
      <w:pPr>
        <w:pStyle w:val="Normal"/>
        <w:rPr>
          <w:rFonts w:ascii="MuliLight" w:hAnsi="MuliLight" w:eastAsia="Times New Roman" w:cs="Times New Roman"/>
          <w:sz w:val="27"/>
          <w:szCs w:val="27"/>
          <w:lang w:eastAsia="es-ES"/>
        </w:rPr>
      </w:pPr>
      <w:r>
        <w:rPr>
          <w:rFonts w:eastAsia="Times New Roman" w:cs="Times New Roman" w:ascii="MuliLight" w:hAnsi="MuliLight"/>
          <w:sz w:val="27"/>
          <w:szCs w:val="27"/>
          <w:lang w:eastAsia="es-ES"/>
        </w:rPr>
      </w:r>
      <w:r>
        <w:br w:type="page"/>
      </w:r>
    </w:p>
    <w:p>
      <w:pPr>
        <w:pStyle w:val="NormalWeb"/>
        <w:shd w:val="clear" w:color="auto" w:fill="FFFFFF"/>
        <w:spacing w:beforeAutospacing="0" w:before="0" w:afterAutospacing="0" w:after="192"/>
        <w:ind w:left="708" w:hanging="708"/>
        <w:jc w:val="both"/>
        <w:textAlignment w:val="baseline"/>
        <w:rPr>
          <w:rFonts w:ascii="MuliLight" w:hAnsi="MuliLight"/>
          <w:b/>
          <w:b/>
          <w:bCs/>
          <w:sz w:val="27"/>
          <w:szCs w:val="27"/>
        </w:rPr>
      </w:pPr>
      <w:r>
        <w:rPr>
          <w:rFonts w:ascii="MuliLight" w:hAnsi="MuliLight"/>
          <w:b/>
          <w:bCs/>
          <w:sz w:val="27"/>
          <w:szCs w:val="27"/>
        </w:rPr>
        <w:t>Subvenciones recibidas:</w:t>
      </w:r>
    </w:p>
    <w:p>
      <w:pPr>
        <w:pStyle w:val="NormalWeb"/>
        <w:shd w:val="clear" w:color="auto" w:fill="FFFFFF"/>
        <w:spacing w:beforeAutospacing="0" w:before="0" w:afterAutospacing="0" w:after="192"/>
        <w:ind w:left="708" w:hanging="708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Medatlantic ha percibido fondos públicos únicamente en el ejercicio 2021:</w:t>
      </w:r>
    </w:p>
    <w:tbl>
      <w:tblPr>
        <w:tblStyle w:val="Tablaconcuadrcula"/>
        <w:tblW w:w="89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60"/>
        <w:gridCol w:w="1275"/>
        <w:gridCol w:w="1418"/>
        <w:gridCol w:w="1564"/>
        <w:gridCol w:w="1417"/>
      </w:tblGrid>
      <w:tr>
        <w:trPr/>
        <w:tc>
          <w:tcPr>
            <w:tcW w:w="8934" w:type="dxa"/>
            <w:gridSpan w:val="5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s-ES" w:bidi="ar-SA"/>
              </w:rPr>
              <w:t>SUBVENCIONES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s-ES" w:bidi="ar-SA"/>
              </w:rPr>
              <w:t>EXPEDIENTE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s-ES" w:bidi="ar-SA"/>
              </w:rPr>
              <w:t>FECHA REG. ENTRADA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s-ES" w:bidi="ar-SA"/>
              </w:rPr>
              <w:t>FECHA SOLICITUD COMPLETA</w:t>
            </w:r>
          </w:p>
        </w:tc>
        <w:tc>
          <w:tcPr>
            <w:tcW w:w="1564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s-ES" w:bidi="ar-SA"/>
              </w:rPr>
              <w:t>FECHA DE RESOLUCIÓN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es-ES" w:bidi="ar-SA"/>
              </w:rPr>
              <w:t>IMPORTE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LÍNEA Covid de ayudas directas a personas autónomas y empresas: EXP-SUBPYMES2-1017-2021*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17/07/2021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09/09/2021</w:t>
            </w:r>
          </w:p>
        </w:tc>
        <w:tc>
          <w:tcPr>
            <w:tcW w:w="1564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06/10/2021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500.000,00€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LÍNEA Covid de ayudas directas a personas autónomas y empresas: EXP-SUBPYMES2-1017-2021</w:t>
            </w:r>
          </w:p>
        </w:tc>
        <w:tc>
          <w:tcPr>
            <w:tcW w:w="1275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24/03/2021</w:t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08/06/2021</w:t>
            </w:r>
          </w:p>
        </w:tc>
        <w:tc>
          <w:tcPr>
            <w:tcW w:w="1564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07/07/2021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25.000,00€</w:t>
            </w:r>
          </w:p>
        </w:tc>
      </w:tr>
      <w:tr>
        <w:trPr/>
        <w:tc>
          <w:tcPr>
            <w:tcW w:w="5953" w:type="dxa"/>
            <w:gridSpan w:val="3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* Subvención auditada</w:t>
            </w:r>
          </w:p>
        </w:tc>
        <w:tc>
          <w:tcPr>
            <w:tcW w:w="1564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TOTAL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widowControl/>
              <w:spacing w:beforeAutospacing="0" w:before="0" w:afterAutospacing="0" w:after="19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s-ES" w:bidi="ar-SA"/>
              </w:rPr>
              <w:t>525.000,00€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92"/>
        <w:ind w:left="708" w:hanging="708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</w:r>
    </w:p>
    <w:p>
      <w:pPr>
        <w:pStyle w:val="NormalWeb"/>
        <w:shd w:val="clear" w:color="auto" w:fill="FFFFFF"/>
        <w:spacing w:beforeAutospacing="0" w:before="0" w:afterAutospacing="0" w:after="192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  <w:t>Medatlantic no</w:t>
      </w:r>
      <w:r>
        <w:rPr>
          <w:rFonts w:ascii="Roboto" w:hAnsi="Roboto"/>
          <w:color w:val="545D5F"/>
          <w:sz w:val="18"/>
          <w:szCs w:val="18"/>
        </w:rPr>
        <w:t xml:space="preserve"> </w:t>
      </w:r>
      <w:r>
        <w:rPr>
          <w:rFonts w:ascii="MuliLight" w:hAnsi="MuliLight"/>
          <w:sz w:val="27"/>
          <w:szCs w:val="27"/>
        </w:rPr>
        <w:t>está acogida a la ley de contratos públicos, al no ser una administración pública ni un poder adjudicador y por tanto no ha formalizó ningún contrato público en los años 2020, 2021 y a la fecha de actualización de la presente página. La empresa no ha firmado ningún contrato o convenio con ninguna administración pública. Por tanto, no ha percibido otros fondos públicos que los identificados en el anterior cuadro resumen.</w:t>
      </w:r>
    </w:p>
    <w:p>
      <w:pPr>
        <w:pStyle w:val="Normal"/>
        <w:rPr>
          <w:rFonts w:ascii="MuliLight" w:hAnsi="MuliLight" w:eastAsia="Times New Roman" w:cs="Times New Roman"/>
          <w:sz w:val="27"/>
          <w:szCs w:val="27"/>
          <w:lang w:eastAsia="es-ES"/>
        </w:rPr>
      </w:pPr>
      <w:r>
        <w:rPr>
          <w:rFonts w:eastAsia="Times New Roman" w:cs="Times New Roman" w:ascii="MuliLight" w:hAnsi="MuliLight"/>
          <w:sz w:val="27"/>
          <w:szCs w:val="27"/>
          <w:lang w:eastAsia="es-ES"/>
        </w:rPr>
      </w:r>
      <w:r>
        <w:br w:type="page"/>
      </w:r>
    </w:p>
    <w:p>
      <w:pPr>
        <w:pStyle w:val="NormalWeb"/>
        <w:shd w:val="clear" w:color="auto" w:fill="FFFFFF"/>
        <w:spacing w:beforeAutospacing="0" w:before="0" w:afterAutospacing="0" w:after="192"/>
        <w:ind w:left="708" w:hanging="708"/>
        <w:jc w:val="both"/>
        <w:textAlignment w:val="baseline"/>
        <w:rPr>
          <w:rFonts w:ascii="MuliLight" w:hAnsi="MuliLight"/>
          <w:sz w:val="27"/>
          <w:szCs w:val="27"/>
        </w:rPr>
      </w:pPr>
      <w:r>
        <w:rPr>
          <w:rFonts w:ascii="MuliLight" w:hAnsi="MuliLight"/>
          <w:sz w:val="27"/>
          <w:szCs w:val="27"/>
        </w:rPr>
      </w:r>
    </w:p>
    <w:p>
      <w:pPr>
        <w:pStyle w:val="Normal"/>
        <w:jc w:val="both"/>
        <w:rPr>
          <w:rFonts w:ascii="MuliLight" w:hAnsi="MuliLight" w:eastAsia="Times New Roman" w:cs="Times New Roman"/>
          <w:b/>
          <w:b/>
          <w:bCs/>
          <w:sz w:val="27"/>
          <w:szCs w:val="27"/>
          <w:lang w:eastAsia="es-ES"/>
        </w:rPr>
      </w:pPr>
      <w:r>
        <w:rPr>
          <w:rFonts w:eastAsia="Times New Roman" w:cs="Times New Roman" w:ascii="MuliLight" w:hAnsi="MuliLight"/>
          <w:b/>
          <w:bCs/>
          <w:sz w:val="27"/>
          <w:szCs w:val="27"/>
          <w:lang w:eastAsia="es-ES"/>
        </w:rPr>
        <w:t>Organigrama:</w:t>
      </w:r>
    </w:p>
    <w:p>
      <w:pPr>
        <w:pStyle w:val="Normal"/>
        <w:jc w:val="both"/>
        <w:rPr>
          <w:rFonts w:ascii="MuliLight" w:hAnsi="MuliLight" w:eastAsia="Times New Roman" w:cs="Times New Roman"/>
          <w:sz w:val="27"/>
          <w:szCs w:val="27"/>
          <w:lang w:eastAsia="es-ES"/>
        </w:rPr>
      </w:pPr>
      <w:r>
        <w:rPr>
          <w:rFonts w:eastAsia="Times New Roman" w:cs="Times New Roman" w:ascii="MuliLight" w:hAnsi="MuliLight"/>
          <w:sz w:val="27"/>
          <w:szCs w:val="27"/>
          <w:lang w:eastAsia="es-ES"/>
        </w:rPr>
      </w:r>
    </w:p>
    <w:p>
      <w:pPr>
        <w:pStyle w:val="Normal"/>
        <w:jc w:val="both"/>
        <w:rPr>
          <w:rFonts w:ascii="MuliLight" w:hAnsi="MuliLight" w:eastAsia="Times New Roman" w:cs="Times New Roman"/>
          <w:sz w:val="27"/>
          <w:szCs w:val="27"/>
          <w:lang w:eastAsia="es-ES"/>
        </w:rPr>
      </w:pPr>
      <w:r>
        <w:rPr/>
        <w:drawing>
          <wp:inline distT="0" distB="0" distL="0" distR="0">
            <wp:extent cx="6315710" cy="5064760"/>
            <wp:effectExtent l="0" t="0" r="0" b="0"/>
            <wp:docPr id="1" name="Imagen 1" descr="Gráfico,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MuliLight" w:hAnsi="MuliLight" w:eastAsia="Times New Roman" w:cs="Times New Roman"/>
          <w:sz w:val="27"/>
          <w:szCs w:val="27"/>
          <w:lang w:eastAsia="es-ES"/>
        </w:rPr>
      </w:pPr>
      <w:r>
        <w:rPr>
          <w:rFonts w:eastAsia="Times New Roman" w:cs="Times New Roman" w:ascii="MuliLight" w:hAnsi="MuliLight"/>
          <w:sz w:val="27"/>
          <w:szCs w:val="27"/>
          <w:lang w:eastAsia="es-ES"/>
        </w:rPr>
      </w:r>
      <w:r>
        <w:br w:type="page"/>
      </w:r>
    </w:p>
    <w:p>
      <w:pPr>
        <w:pStyle w:val="Normal"/>
        <w:jc w:val="both"/>
        <w:rPr>
          <w:rFonts w:ascii="MuliLight" w:hAnsi="MuliLight" w:eastAsia="Times New Roman" w:cs="Times New Roman"/>
          <w:b/>
          <w:b/>
          <w:bCs/>
          <w:sz w:val="27"/>
          <w:szCs w:val="27"/>
          <w:lang w:eastAsia="es-ES"/>
        </w:rPr>
      </w:pPr>
      <w:r>
        <w:rPr>
          <w:rFonts w:eastAsia="Times New Roman" w:cs="Times New Roman" w:ascii="MuliLight" w:hAnsi="MuliLight"/>
          <w:b/>
          <w:bCs/>
          <w:sz w:val="27"/>
          <w:szCs w:val="27"/>
          <w:lang w:eastAsia="es-ES"/>
        </w:rPr>
        <w:t>Link:</w:t>
      </w:r>
    </w:p>
    <w:p>
      <w:pPr>
        <w:pStyle w:val="Normal"/>
        <w:jc w:val="both"/>
        <w:rPr/>
      </w:pPr>
      <w:hyperlink r:id="rId3">
        <w:r>
          <w:rPr>
            <w:rStyle w:val="EnlacedeInternet"/>
          </w:rPr>
          <w:t>Ley de transparencia de Canarias – Transparencia Thinkin</w:t>
        </w:r>
      </w:hyperlink>
    </w:p>
    <w:p>
      <w:pPr>
        <w:pStyle w:val="Normal"/>
        <w:jc w:val="both"/>
        <w:rPr/>
      </w:pPr>
      <w:hyperlink r:id="rId4">
        <w:r>
          <w:rPr>
            <w:rStyle w:val="EnlacedeInternet"/>
          </w:rPr>
          <w:t>Comisionado | Comisionado de Transparencia (transparenciacanarias.org)</w:t>
        </w:r>
      </w:hyperlink>
    </w:p>
    <w:p>
      <w:pPr>
        <w:pStyle w:val="Normal"/>
        <w:jc w:val="both"/>
        <w:rPr/>
      </w:pPr>
      <w:hyperlink r:id="rId5">
        <w:r>
          <w:rPr>
            <w:rStyle w:val="EnlacedeInternet"/>
          </w:rPr>
          <w:t>Normativa aplicable a la entidad – Transparencia Thinkin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>
          <w:rFonts w:ascii="MuliLight" w:hAnsi="MuliLight" w:eastAsia="Times New Roman" w:cs="Times New Roman"/>
          <w:b/>
          <w:b/>
          <w:bCs/>
          <w:sz w:val="27"/>
          <w:szCs w:val="27"/>
          <w:lang w:eastAsia="es-E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uliLight">
    <w:charset w:val="01"/>
    <w:family w:val="roman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55a1"/>
    <w:rPr>
      <w:b/>
      <w:bCs/>
    </w:rPr>
  </w:style>
  <w:style w:type="character" w:styleId="EnlacedeInternet">
    <w:name w:val="Enlace de Internet"/>
    <w:basedOn w:val="DefaultParagraphFont"/>
    <w:uiPriority w:val="99"/>
    <w:semiHidden/>
    <w:unhideWhenUsed/>
    <w:rsid w:val="00604643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0d55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055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ransparencia.thinkin.es/ley-transparencia-canarias/" TargetMode="External"/><Relationship Id="rId4" Type="http://schemas.openxmlformats.org/officeDocument/2006/relationships/hyperlink" Target="https://transparenciacanarias.org/" TargetMode="External"/><Relationship Id="rId5" Type="http://schemas.openxmlformats.org/officeDocument/2006/relationships/hyperlink" Target="https://transparencia.thinkin.es/normativa-aplicable-a-la-entidad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436FD9D9CF3344B955954FCC1AFDB4" ma:contentTypeVersion="16" ma:contentTypeDescription="Crear nuevo documento." ma:contentTypeScope="" ma:versionID="95310f29b93fd77c71693131cd8f0be0">
  <xsd:schema xmlns:xsd="http://www.w3.org/2001/XMLSchema" xmlns:xs="http://www.w3.org/2001/XMLSchema" xmlns:p="http://schemas.microsoft.com/office/2006/metadata/properties" xmlns:ns2="b4fce1f5-8902-40f6-a1f2-fe8a52244903" xmlns:ns3="e44e3d21-70ab-4ea6-8577-74e328966e8b" targetNamespace="http://schemas.microsoft.com/office/2006/metadata/properties" ma:root="true" ma:fieldsID="89e3d53da56de94000900b0709dcec6a" ns2:_="" ns3:_="">
    <xsd:import namespace="b4fce1f5-8902-40f6-a1f2-fe8a52244903"/>
    <xsd:import namespace="e44e3d21-70ab-4ea6-8577-74e32896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e1f5-8902-40f6-a1f2-fe8a52244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4016f9-92d2-4bdc-89df-267e81550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d21-70ab-4ea6-8577-74e32896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9ebce-64f2-422b-90b9-4364db8e106b}" ma:internalName="TaxCatchAll" ma:showField="CatchAllData" ma:web="e44e3d21-70ab-4ea6-8577-74e328966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B7363-9A1F-499E-A436-A6488A144E29}"/>
</file>

<file path=customXml/itemProps2.xml><?xml version="1.0" encoding="utf-8"?>
<ds:datastoreItem xmlns:ds="http://schemas.openxmlformats.org/officeDocument/2006/customXml" ds:itemID="{F6A2F0CC-A0A0-4E05-9AE1-BA753DDBC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LibreOffice/7.1.3.2$Linux_X86_64 LibreOffice_project/47f78053abe362b9384784d31a6e56f8511eb1c1</Application>
  <AppVersion>15.0000</AppVersion>
  <Pages>4</Pages>
  <Words>455</Words>
  <Characters>2753</Characters>
  <CharactersWithSpaces>3171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2022-08-31T07:21:00Z</dcterms:created>
  <dc:creator>Teodoro Franch Zabala</dc:creator>
  <dc:description/>
  <dc:language>es-ES</dc:language>
  <cp:lastModifiedBy>Maria Canuto Gil</cp:lastModifiedBy>
  <dcterms:modified xsi:type="dcterms:W3CDTF">2022-08-31T07:21:00Z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